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57" w:rsidRPr="00F07100" w:rsidRDefault="00AE068B" w:rsidP="00AE06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100">
        <w:rPr>
          <w:rFonts w:ascii="Times New Roman" w:hAnsi="Times New Roman" w:cs="Times New Roman"/>
          <w:b/>
          <w:sz w:val="28"/>
          <w:szCs w:val="28"/>
        </w:rPr>
        <w:t>VALORACIÓN JURÍDICA DE LA ACTUACIÓN DE LOS PROFESIONALES MÉDICOS ANTE LA FALTA DE MEDIOS DE PROTECCIÓN FRENTE AL COVID-19.</w:t>
      </w:r>
    </w:p>
    <w:p w:rsidR="00AE068B" w:rsidRPr="00F07100" w:rsidRDefault="00AE068B" w:rsidP="00855CB4">
      <w:pPr>
        <w:jc w:val="both"/>
        <w:rPr>
          <w:rFonts w:ascii="Times New Roman" w:hAnsi="Times New Roman" w:cs="Times New Roman"/>
          <w:sz w:val="26"/>
          <w:szCs w:val="26"/>
        </w:rPr>
      </w:pPr>
      <w:r w:rsidRPr="00F07100">
        <w:rPr>
          <w:rFonts w:ascii="Times New Roman" w:hAnsi="Times New Roman" w:cs="Times New Roman"/>
          <w:sz w:val="26"/>
          <w:szCs w:val="26"/>
        </w:rPr>
        <w:t xml:space="preserve">En primer lugar, el Auto de 25 de marzo de 2020 del Juzgado de lo Social nº 31 de los de Madrid dictado ante </w:t>
      </w:r>
      <w:r w:rsidRPr="00F07100">
        <w:rPr>
          <w:rFonts w:ascii="Times New Roman" w:hAnsi="Times New Roman" w:cs="Times New Roman"/>
          <w:sz w:val="26"/>
          <w:szCs w:val="26"/>
        </w:rPr>
        <w:t xml:space="preserve">solicitud de </w:t>
      </w:r>
      <w:r w:rsidRPr="00F07100">
        <w:rPr>
          <w:rFonts w:ascii="Times New Roman" w:hAnsi="Times New Roman" w:cs="Times New Roman"/>
          <w:sz w:val="26"/>
          <w:szCs w:val="26"/>
        </w:rPr>
        <w:t xml:space="preserve">medidas </w:t>
      </w:r>
      <w:proofErr w:type="spellStart"/>
      <w:r w:rsidRPr="00F07100">
        <w:rPr>
          <w:rFonts w:ascii="Times New Roman" w:hAnsi="Times New Roman" w:cs="Times New Roman"/>
          <w:sz w:val="26"/>
          <w:szCs w:val="26"/>
        </w:rPr>
        <w:t>cautelarísimas</w:t>
      </w:r>
      <w:proofErr w:type="spellEnd"/>
      <w:r w:rsidRPr="00F07100">
        <w:rPr>
          <w:rFonts w:ascii="Times New Roman" w:hAnsi="Times New Roman" w:cs="Times New Roman"/>
          <w:sz w:val="26"/>
          <w:szCs w:val="26"/>
        </w:rPr>
        <w:t xml:space="preserve"> “inaudita parte” de la </w:t>
      </w:r>
      <w:r w:rsidRPr="00F07100">
        <w:rPr>
          <w:rFonts w:ascii="Times New Roman" w:hAnsi="Times New Roman" w:cs="Times New Roman"/>
          <w:sz w:val="26"/>
          <w:szCs w:val="26"/>
        </w:rPr>
        <w:t>ASOCIACIÓN DE MÉDICOS Y</w:t>
      </w:r>
      <w:r w:rsidR="00855CB4" w:rsidRPr="00F07100">
        <w:rPr>
          <w:rFonts w:ascii="Times New Roman" w:hAnsi="Times New Roman" w:cs="Times New Roman"/>
          <w:sz w:val="26"/>
          <w:szCs w:val="26"/>
        </w:rPr>
        <w:t xml:space="preserve"> </w:t>
      </w:r>
      <w:r w:rsidRPr="00F07100">
        <w:rPr>
          <w:rFonts w:ascii="Times New Roman" w:hAnsi="Times New Roman" w:cs="Times New Roman"/>
          <w:sz w:val="26"/>
          <w:szCs w:val="26"/>
        </w:rPr>
        <w:t xml:space="preserve">TITULADOS SUPERIORES DE MADRID (AMYTS) contra la </w:t>
      </w:r>
      <w:bookmarkStart w:id="0" w:name="_GoBack"/>
      <w:bookmarkEnd w:id="0"/>
      <w:r w:rsidRPr="00F07100">
        <w:rPr>
          <w:rFonts w:ascii="Times New Roman" w:hAnsi="Times New Roman" w:cs="Times New Roman"/>
          <w:sz w:val="26"/>
          <w:szCs w:val="26"/>
        </w:rPr>
        <w:t>CONSEJERIA DE</w:t>
      </w:r>
      <w:r w:rsidRPr="00F07100">
        <w:rPr>
          <w:rFonts w:ascii="Times New Roman" w:hAnsi="Times New Roman" w:cs="Times New Roman"/>
          <w:sz w:val="26"/>
          <w:szCs w:val="26"/>
        </w:rPr>
        <w:t xml:space="preserve"> </w:t>
      </w:r>
      <w:r w:rsidRPr="00F07100">
        <w:rPr>
          <w:rFonts w:ascii="Times New Roman" w:hAnsi="Times New Roman" w:cs="Times New Roman"/>
          <w:sz w:val="26"/>
          <w:szCs w:val="26"/>
        </w:rPr>
        <w:t>SANIDAD DE LA COMUNIDAD DE MADRID</w:t>
      </w:r>
      <w:r w:rsidR="00855CB4" w:rsidRPr="00F07100">
        <w:rPr>
          <w:rFonts w:ascii="Times New Roman" w:hAnsi="Times New Roman" w:cs="Times New Roman"/>
          <w:sz w:val="26"/>
          <w:szCs w:val="26"/>
        </w:rPr>
        <w:t>,</w:t>
      </w:r>
      <w:r w:rsidRPr="00F07100">
        <w:rPr>
          <w:rFonts w:ascii="Times New Roman" w:hAnsi="Times New Roman" w:cs="Times New Roman"/>
          <w:sz w:val="26"/>
          <w:szCs w:val="26"/>
        </w:rPr>
        <w:t xml:space="preserve"> que requería de dicha Consejería la provisión</w:t>
      </w:r>
      <w:r w:rsidR="00855CB4" w:rsidRPr="00F07100">
        <w:rPr>
          <w:rFonts w:ascii="Times New Roman" w:hAnsi="Times New Roman" w:cs="Times New Roman"/>
          <w:sz w:val="26"/>
          <w:szCs w:val="26"/>
        </w:rPr>
        <w:t xml:space="preserve"> </w:t>
      </w:r>
      <w:r w:rsidR="00855CB4" w:rsidRPr="00F07100">
        <w:rPr>
          <w:rFonts w:ascii="Times New Roman" w:hAnsi="Times New Roman" w:cs="Times New Roman"/>
          <w:sz w:val="26"/>
          <w:szCs w:val="26"/>
        </w:rPr>
        <w:t>con carácter</w:t>
      </w:r>
      <w:r w:rsidR="00855CB4" w:rsidRPr="00F07100">
        <w:rPr>
          <w:rFonts w:ascii="Times New Roman" w:hAnsi="Times New Roman" w:cs="Times New Roman"/>
          <w:sz w:val="26"/>
          <w:szCs w:val="26"/>
        </w:rPr>
        <w:t xml:space="preserve"> </w:t>
      </w:r>
      <w:r w:rsidR="00855CB4" w:rsidRPr="00F07100">
        <w:rPr>
          <w:rFonts w:ascii="Times New Roman" w:hAnsi="Times New Roman" w:cs="Times New Roman"/>
          <w:sz w:val="26"/>
          <w:szCs w:val="26"/>
        </w:rPr>
        <w:t>urgente e inmediato, en el término de 24 horas, en todos Centros de la Red del SERVICIO</w:t>
      </w:r>
      <w:r w:rsidR="00855CB4" w:rsidRPr="00F07100">
        <w:rPr>
          <w:rFonts w:ascii="Times New Roman" w:hAnsi="Times New Roman" w:cs="Times New Roman"/>
          <w:sz w:val="26"/>
          <w:szCs w:val="26"/>
        </w:rPr>
        <w:t xml:space="preserve"> </w:t>
      </w:r>
      <w:r w:rsidR="00855CB4" w:rsidRPr="00F07100">
        <w:rPr>
          <w:rFonts w:ascii="Times New Roman" w:hAnsi="Times New Roman" w:cs="Times New Roman"/>
          <w:sz w:val="26"/>
          <w:szCs w:val="26"/>
        </w:rPr>
        <w:t>MADRILEÑO DE SALUD, Hospitalarios, Asistenciales de Atención Primaria, SUMMA112, SAR, Centros con pacientes institucionalizados, así como todos los demás Centros</w:t>
      </w:r>
      <w:r w:rsidR="00855CB4" w:rsidRPr="00F07100">
        <w:rPr>
          <w:rFonts w:ascii="Times New Roman" w:hAnsi="Times New Roman" w:cs="Times New Roman"/>
          <w:sz w:val="26"/>
          <w:szCs w:val="26"/>
        </w:rPr>
        <w:t xml:space="preserve"> </w:t>
      </w:r>
      <w:r w:rsidR="00855CB4" w:rsidRPr="00F07100">
        <w:rPr>
          <w:rFonts w:ascii="Times New Roman" w:hAnsi="Times New Roman" w:cs="Times New Roman"/>
          <w:sz w:val="26"/>
          <w:szCs w:val="26"/>
        </w:rPr>
        <w:t>asistenciales de la Comunidad de Madrid, ya sean públicos o privados, y cualesquiera otras</w:t>
      </w:r>
      <w:r w:rsidR="00855CB4" w:rsidRPr="00F07100">
        <w:rPr>
          <w:rFonts w:ascii="Times New Roman" w:hAnsi="Times New Roman" w:cs="Times New Roman"/>
          <w:sz w:val="26"/>
          <w:szCs w:val="26"/>
        </w:rPr>
        <w:t xml:space="preserve"> </w:t>
      </w:r>
      <w:r w:rsidR="00855CB4" w:rsidRPr="00F07100">
        <w:rPr>
          <w:rFonts w:ascii="Times New Roman" w:hAnsi="Times New Roman" w:cs="Times New Roman"/>
          <w:sz w:val="26"/>
          <w:szCs w:val="26"/>
        </w:rPr>
        <w:t>Dependencias habilitadas para uso sanitario: “</w:t>
      </w:r>
      <w:r w:rsidR="00855CB4" w:rsidRPr="00F07100">
        <w:rPr>
          <w:rFonts w:ascii="Times New Roman" w:hAnsi="Times New Roman" w:cs="Times New Roman"/>
          <w:b/>
          <w:i/>
          <w:sz w:val="26"/>
          <w:szCs w:val="26"/>
        </w:rPr>
        <w:t xml:space="preserve">de </w:t>
      </w:r>
      <w:r w:rsidR="00855CB4" w:rsidRPr="00F07100">
        <w:rPr>
          <w:rFonts w:ascii="Times New Roman" w:hAnsi="Times New Roman" w:cs="Times New Roman"/>
          <w:b/>
          <w:i/>
          <w:sz w:val="26"/>
          <w:szCs w:val="26"/>
        </w:rPr>
        <w:t>batas impermeables, mascarillas</w:t>
      </w:r>
      <w:r w:rsidR="00855CB4" w:rsidRPr="00F07100">
        <w:rPr>
          <w:rFonts w:ascii="Times New Roman" w:hAnsi="Times New Roman" w:cs="Times New Roman"/>
          <w:b/>
          <w:i/>
          <w:sz w:val="26"/>
          <w:szCs w:val="26"/>
        </w:rPr>
        <w:t xml:space="preserve"> FPP2, FPP3, </w:t>
      </w:r>
      <w:r w:rsidR="00855CB4" w:rsidRPr="00F07100">
        <w:rPr>
          <w:rFonts w:ascii="Times New Roman" w:hAnsi="Times New Roman" w:cs="Times New Roman"/>
          <w:b/>
          <w:i/>
          <w:sz w:val="26"/>
          <w:szCs w:val="26"/>
        </w:rPr>
        <w:t>gafas de protección y contenedores de grandes de residuos</w:t>
      </w:r>
      <w:r w:rsidR="00855CB4" w:rsidRPr="00F07100">
        <w:rPr>
          <w:rFonts w:ascii="Times New Roman" w:hAnsi="Times New Roman" w:cs="Times New Roman"/>
          <w:sz w:val="26"/>
          <w:szCs w:val="26"/>
        </w:rPr>
        <w:t xml:space="preserve">” </w:t>
      </w:r>
      <w:r w:rsidR="00855CB4" w:rsidRPr="00F07100">
        <w:rPr>
          <w:rFonts w:ascii="Times New Roman" w:hAnsi="Times New Roman" w:cs="Times New Roman"/>
          <w:b/>
          <w:sz w:val="26"/>
          <w:szCs w:val="26"/>
        </w:rPr>
        <w:t>ha resuelto</w:t>
      </w:r>
      <w:r w:rsidR="00855CB4" w:rsidRPr="00F07100">
        <w:rPr>
          <w:rFonts w:ascii="Times New Roman" w:hAnsi="Times New Roman" w:cs="Times New Roman"/>
          <w:sz w:val="26"/>
          <w:szCs w:val="26"/>
        </w:rPr>
        <w:t xml:space="preserve"> </w:t>
      </w:r>
      <w:r w:rsidR="00855CB4" w:rsidRPr="00F07100">
        <w:rPr>
          <w:rFonts w:ascii="Times New Roman" w:hAnsi="Times New Roman" w:cs="Times New Roman"/>
          <w:sz w:val="26"/>
          <w:szCs w:val="26"/>
        </w:rPr>
        <w:t>partiendo de la normativa y doctrina jurisprudencial</w:t>
      </w:r>
      <w:r w:rsidR="00855CB4" w:rsidRPr="00F07100">
        <w:rPr>
          <w:rFonts w:ascii="Times New Roman" w:hAnsi="Times New Roman" w:cs="Times New Roman"/>
          <w:sz w:val="26"/>
          <w:szCs w:val="26"/>
        </w:rPr>
        <w:t xml:space="preserve"> que expone que</w:t>
      </w:r>
      <w:r w:rsidR="00855CB4" w:rsidRPr="00F07100">
        <w:rPr>
          <w:rFonts w:ascii="Times New Roman" w:hAnsi="Times New Roman" w:cs="Times New Roman"/>
          <w:sz w:val="26"/>
          <w:szCs w:val="26"/>
        </w:rPr>
        <w:t xml:space="preserve"> no cabe sino concluir que la entidad demandada se haya obligada a entregar de</w:t>
      </w:r>
      <w:r w:rsidR="00855CB4" w:rsidRPr="00F07100">
        <w:rPr>
          <w:rFonts w:ascii="Times New Roman" w:hAnsi="Times New Roman" w:cs="Times New Roman"/>
          <w:sz w:val="26"/>
          <w:szCs w:val="26"/>
        </w:rPr>
        <w:t xml:space="preserve"> </w:t>
      </w:r>
      <w:r w:rsidR="00855CB4" w:rsidRPr="00F07100">
        <w:rPr>
          <w:rFonts w:ascii="Times New Roman" w:hAnsi="Times New Roman" w:cs="Times New Roman"/>
          <w:sz w:val="26"/>
          <w:szCs w:val="26"/>
        </w:rPr>
        <w:t xml:space="preserve">manera inmediata, y en un </w:t>
      </w:r>
      <w:r w:rsidR="00855CB4" w:rsidRPr="00F07100">
        <w:rPr>
          <w:rFonts w:ascii="Times New Roman" w:hAnsi="Times New Roman" w:cs="Times New Roman"/>
          <w:b/>
          <w:sz w:val="26"/>
          <w:szCs w:val="26"/>
        </w:rPr>
        <w:t>plazo máximo de 24 horas</w:t>
      </w:r>
      <w:r w:rsidR="00855CB4" w:rsidRPr="00F07100">
        <w:rPr>
          <w:rFonts w:ascii="Times New Roman" w:hAnsi="Times New Roman" w:cs="Times New Roman"/>
          <w:sz w:val="26"/>
          <w:szCs w:val="26"/>
        </w:rPr>
        <w:t>, las medidas de prevención requeridas, pues las mismas se consideran absolutamente necesarias para que los</w:t>
      </w:r>
      <w:r w:rsidR="00855CB4" w:rsidRPr="00F07100">
        <w:rPr>
          <w:rFonts w:ascii="Times New Roman" w:hAnsi="Times New Roman" w:cs="Times New Roman"/>
          <w:sz w:val="26"/>
          <w:szCs w:val="26"/>
        </w:rPr>
        <w:t xml:space="preserve"> </w:t>
      </w:r>
      <w:r w:rsidR="00855CB4" w:rsidRPr="00F07100">
        <w:rPr>
          <w:rFonts w:ascii="Times New Roman" w:hAnsi="Times New Roman" w:cs="Times New Roman"/>
          <w:sz w:val="26"/>
          <w:szCs w:val="26"/>
        </w:rPr>
        <w:t>médicos y titulares sanitarios puedan desarrollar sus funciones de atención y cuidado</w:t>
      </w:r>
      <w:r w:rsidR="00855CB4" w:rsidRPr="00F07100">
        <w:rPr>
          <w:rFonts w:ascii="Times New Roman" w:hAnsi="Times New Roman" w:cs="Times New Roman"/>
          <w:sz w:val="26"/>
          <w:szCs w:val="26"/>
        </w:rPr>
        <w:t xml:space="preserve"> </w:t>
      </w:r>
      <w:r w:rsidR="00855CB4" w:rsidRPr="00F07100">
        <w:rPr>
          <w:rFonts w:ascii="Times New Roman" w:hAnsi="Times New Roman" w:cs="Times New Roman"/>
          <w:sz w:val="26"/>
          <w:szCs w:val="26"/>
        </w:rPr>
        <w:t>del paciente con unas mínimas condiciones de seguridad, con el fin de evitar el riesgo de</w:t>
      </w:r>
      <w:r w:rsidR="00855CB4" w:rsidRPr="00F07100">
        <w:rPr>
          <w:rFonts w:ascii="Times New Roman" w:hAnsi="Times New Roman" w:cs="Times New Roman"/>
          <w:sz w:val="26"/>
          <w:szCs w:val="26"/>
        </w:rPr>
        <w:t xml:space="preserve"> </w:t>
      </w:r>
      <w:r w:rsidR="00855CB4" w:rsidRPr="00F07100">
        <w:rPr>
          <w:rFonts w:ascii="Times New Roman" w:hAnsi="Times New Roman" w:cs="Times New Roman"/>
          <w:sz w:val="26"/>
          <w:szCs w:val="26"/>
        </w:rPr>
        <w:t>ser contagiados o de incrementar más el contagio.</w:t>
      </w:r>
      <w:r w:rsidR="00855CB4" w:rsidRPr="00F07100">
        <w:rPr>
          <w:rFonts w:ascii="Times New Roman" w:hAnsi="Times New Roman" w:cs="Times New Roman"/>
          <w:sz w:val="26"/>
          <w:szCs w:val="26"/>
        </w:rPr>
        <w:t xml:space="preserve"> Si bien dicho Auto es recurrible en reposición en el plazo de tres días, las medidas resultan inmediatamente ejecutivas.</w:t>
      </w:r>
    </w:p>
    <w:p w:rsidR="00855CB4" w:rsidRPr="00F07100" w:rsidRDefault="00855CB4" w:rsidP="00855CB4">
      <w:pPr>
        <w:jc w:val="both"/>
        <w:rPr>
          <w:rFonts w:ascii="Times New Roman" w:hAnsi="Times New Roman" w:cs="Times New Roman"/>
          <w:sz w:val="26"/>
          <w:szCs w:val="26"/>
        </w:rPr>
      </w:pPr>
      <w:r w:rsidRPr="00F07100">
        <w:rPr>
          <w:rFonts w:ascii="Times New Roman" w:hAnsi="Times New Roman" w:cs="Times New Roman"/>
          <w:sz w:val="26"/>
          <w:szCs w:val="26"/>
        </w:rPr>
        <w:t>Se plantea consulta con respecto a las actuaciones a seguir ante un posible incumplimiento.</w:t>
      </w:r>
    </w:p>
    <w:p w:rsidR="00855CB4" w:rsidRPr="00F07100" w:rsidRDefault="00855CB4" w:rsidP="00855CB4">
      <w:pPr>
        <w:jc w:val="both"/>
        <w:rPr>
          <w:rFonts w:ascii="Times New Roman" w:hAnsi="Times New Roman" w:cs="Times New Roman"/>
          <w:sz w:val="26"/>
          <w:szCs w:val="26"/>
        </w:rPr>
      </w:pPr>
      <w:r w:rsidRPr="00F07100">
        <w:rPr>
          <w:rFonts w:ascii="Times New Roman" w:hAnsi="Times New Roman" w:cs="Times New Roman"/>
          <w:sz w:val="26"/>
          <w:szCs w:val="26"/>
        </w:rPr>
        <w:t>Pues bien, en primer lugar y desde mi punto de vista, no cabe dejar de prestar asistencia y ello por las siguientes razones:</w:t>
      </w:r>
    </w:p>
    <w:p w:rsidR="002218A9" w:rsidRPr="00F07100" w:rsidRDefault="00855CB4" w:rsidP="00855CB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7100">
        <w:rPr>
          <w:rFonts w:ascii="Times New Roman" w:hAnsi="Times New Roman" w:cs="Times New Roman"/>
          <w:sz w:val="26"/>
          <w:szCs w:val="26"/>
        </w:rPr>
        <w:t>Semejante actitud daría lugar a la posible exigencia de responsabilidad disciplinaria en los términos establecidos por la Ley 55/2003, de 16 de diciembre, del Estatuto Marco del personal estatutario de los Servicios de Salud</w:t>
      </w:r>
      <w:r w:rsidR="002218A9" w:rsidRPr="00F07100">
        <w:rPr>
          <w:rFonts w:ascii="Times New Roman" w:hAnsi="Times New Roman" w:cs="Times New Roman"/>
          <w:sz w:val="26"/>
          <w:szCs w:val="26"/>
        </w:rPr>
        <w:t>, artículo 72.2, apartados d), f), g) e i),</w:t>
      </w:r>
      <w:r w:rsidRPr="00F07100">
        <w:rPr>
          <w:rFonts w:ascii="Times New Roman" w:hAnsi="Times New Roman" w:cs="Times New Roman"/>
          <w:sz w:val="26"/>
          <w:szCs w:val="26"/>
        </w:rPr>
        <w:t xml:space="preserve"> y normativa concordante.</w:t>
      </w:r>
    </w:p>
    <w:p w:rsidR="002218A9" w:rsidRPr="00F07100" w:rsidRDefault="002218A9" w:rsidP="002218A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7100">
        <w:rPr>
          <w:rFonts w:ascii="Times New Roman" w:hAnsi="Times New Roman" w:cs="Times New Roman"/>
          <w:sz w:val="26"/>
          <w:szCs w:val="26"/>
        </w:rPr>
        <w:t>Además podría dar lugar a la posible exigencia de responsabilidad penal por la comisión del tipo contenido en el artículo 196 del Código Penal</w:t>
      </w:r>
      <w:r w:rsidR="00236362" w:rsidRPr="00F07100">
        <w:rPr>
          <w:rFonts w:ascii="Times New Roman" w:hAnsi="Times New Roman" w:cs="Times New Roman"/>
          <w:sz w:val="26"/>
          <w:szCs w:val="26"/>
        </w:rPr>
        <w:t>, omisión del deber de socorro cualificada,</w:t>
      </w:r>
      <w:r w:rsidRPr="00F07100">
        <w:rPr>
          <w:rFonts w:ascii="Times New Roman" w:hAnsi="Times New Roman" w:cs="Times New Roman"/>
          <w:sz w:val="26"/>
          <w:szCs w:val="26"/>
        </w:rPr>
        <w:t xml:space="preserve"> en la interpretación que del mismo ha hecho la Sala de lo Penal del Tribunal Supremo. El Artículo 196 del actual texto penal castiga al profesional que, estando obligado a ello, denegare asistencia sanitaria o abandonare el servicio sanitario, si de estas conductas se derivase peligro grave para la salud de las personas. La pena asignada es de multa de 3 a 12 meses, que se agrava (multa de 6 a 12 meses y prisión de 6 meses a 1 año), si el daño sobrevino por accidente causado por quien incurrió en las conductas expuestas, e incluso puede llegar a 24 </w:t>
      </w:r>
      <w:r w:rsidRPr="00F07100">
        <w:rPr>
          <w:rFonts w:ascii="Times New Roman" w:hAnsi="Times New Roman" w:cs="Times New Roman"/>
          <w:sz w:val="26"/>
          <w:szCs w:val="26"/>
        </w:rPr>
        <w:lastRenderedPageBreak/>
        <w:t>meses de multa, 2 años de prisión y 3 de inhabilitación profesional, cuando la causa radica en una imprudencia del autor del daño. Las circunstancias requeridas para la concurrencia de esta figura delictiva son las siguientes:</w:t>
      </w:r>
    </w:p>
    <w:p w:rsidR="002218A9" w:rsidRPr="00F07100" w:rsidRDefault="002218A9" w:rsidP="002218A9">
      <w:pPr>
        <w:pStyle w:val="Prrafodelista"/>
        <w:jc w:val="both"/>
        <w:rPr>
          <w:rFonts w:ascii="Times New Roman" w:hAnsi="Times New Roman" w:cs="Times New Roman"/>
          <w:sz w:val="26"/>
          <w:szCs w:val="26"/>
        </w:rPr>
      </w:pPr>
    </w:p>
    <w:p w:rsidR="00855CB4" w:rsidRPr="00F07100" w:rsidRDefault="002218A9" w:rsidP="002218A9">
      <w:pPr>
        <w:pStyle w:val="Prrafodelista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F07100">
        <w:rPr>
          <w:rFonts w:ascii="Times New Roman" w:hAnsi="Times New Roman" w:cs="Times New Roman"/>
          <w:sz w:val="26"/>
          <w:szCs w:val="26"/>
        </w:rPr>
        <w:t>Que el autor sea un profesional sanitario.</w:t>
      </w:r>
    </w:p>
    <w:p w:rsidR="002218A9" w:rsidRPr="00F07100" w:rsidRDefault="002218A9" w:rsidP="00236362">
      <w:pPr>
        <w:pStyle w:val="Prrafodelista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F07100">
        <w:rPr>
          <w:rFonts w:ascii="Times New Roman" w:hAnsi="Times New Roman" w:cs="Times New Roman"/>
          <w:sz w:val="26"/>
          <w:szCs w:val="26"/>
        </w:rPr>
        <w:t>Que se produzca denegación de asistencia o abandono del servicio.</w:t>
      </w:r>
      <w:r w:rsidRPr="00F07100">
        <w:rPr>
          <w:sz w:val="26"/>
          <w:szCs w:val="26"/>
        </w:rPr>
        <w:t xml:space="preserve"> </w:t>
      </w:r>
      <w:r w:rsidRPr="00F07100">
        <w:rPr>
          <w:rFonts w:ascii="Times New Roman" w:hAnsi="Times New Roman" w:cs="Times New Roman"/>
          <w:sz w:val="26"/>
          <w:szCs w:val="26"/>
        </w:rPr>
        <w:t xml:space="preserve">Sólo puede concurrir denegación de asistencia cuando no se preste ésta habiendo obligación positiva de hacerlo, como sucede en el presente caso. </w:t>
      </w:r>
    </w:p>
    <w:p w:rsidR="00236362" w:rsidRPr="00F07100" w:rsidRDefault="00236362" w:rsidP="00236362">
      <w:pPr>
        <w:pStyle w:val="Prrafodelista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F07100">
        <w:rPr>
          <w:rFonts w:ascii="Times New Roman" w:hAnsi="Times New Roman" w:cs="Times New Roman"/>
          <w:sz w:val="26"/>
          <w:szCs w:val="26"/>
        </w:rPr>
        <w:t>Que se produzca un riesgo grave. Es decir, para que surja el ilícito no es preciso que llegue a producirse daño alguno, pues si aparece cualquier lesión estaríamos en presencia, además del delito de riesgo, de otro delito de lesiones o de homicidio, según procediera. El riesgo, eso sí, ha de ser relevante y cualificado, caracterizado por su trascendencia para la salud de la persona que deba de estar amparada por la asistencia.</w:t>
      </w:r>
    </w:p>
    <w:p w:rsidR="00236362" w:rsidRPr="00F07100" w:rsidRDefault="00236362" w:rsidP="00236362">
      <w:pPr>
        <w:pStyle w:val="Prrafodelista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F07100">
        <w:rPr>
          <w:rFonts w:ascii="Times New Roman" w:hAnsi="Times New Roman" w:cs="Times New Roman"/>
          <w:sz w:val="26"/>
          <w:szCs w:val="26"/>
        </w:rPr>
        <w:t>Que exista consciencia de la existencia del riesgo por parte del profesional.</w:t>
      </w:r>
    </w:p>
    <w:p w:rsidR="00236362" w:rsidRPr="00F07100" w:rsidRDefault="00236362" w:rsidP="00236362">
      <w:pPr>
        <w:pStyle w:val="Prrafodelista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E26020" w:rsidRPr="00F07100" w:rsidRDefault="00236362" w:rsidP="00E2602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7100">
        <w:rPr>
          <w:rFonts w:ascii="Times New Roman" w:hAnsi="Times New Roman" w:cs="Times New Roman"/>
          <w:sz w:val="26"/>
          <w:szCs w:val="26"/>
        </w:rPr>
        <w:t>Pero además y no menos importante ha de considerarse la responsabilidad deontológica que establece el propio Código de Deontología Médica aprobado por la Organización Médica Colegial en sus artículos 5.3 y 6.2 que disponen respectivamente: “</w:t>
      </w:r>
      <w:r w:rsidRPr="00F07100">
        <w:rPr>
          <w:rFonts w:ascii="Times New Roman" w:hAnsi="Times New Roman" w:cs="Times New Roman"/>
          <w:i/>
          <w:sz w:val="26"/>
          <w:szCs w:val="26"/>
        </w:rPr>
        <w:t>La principal lealtad del médico es la que debe a su paciente y la salud</w:t>
      </w:r>
      <w:r w:rsidRPr="00F0710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07100">
        <w:rPr>
          <w:rFonts w:ascii="Times New Roman" w:hAnsi="Times New Roman" w:cs="Times New Roman"/>
          <w:i/>
          <w:sz w:val="26"/>
          <w:szCs w:val="26"/>
        </w:rPr>
        <w:t>de éste debe anteponerse a cualquier otra conveniencia. El médico no</w:t>
      </w:r>
      <w:r w:rsidRPr="00F0710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07100">
        <w:rPr>
          <w:rFonts w:ascii="Times New Roman" w:hAnsi="Times New Roman" w:cs="Times New Roman"/>
          <w:i/>
          <w:sz w:val="26"/>
          <w:szCs w:val="26"/>
        </w:rPr>
        <w:t>puede negar la asistencia por temor a que la enfermedad o las</w:t>
      </w:r>
      <w:r w:rsidRPr="00F0710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07100">
        <w:rPr>
          <w:rFonts w:ascii="Times New Roman" w:hAnsi="Times New Roman" w:cs="Times New Roman"/>
          <w:i/>
          <w:sz w:val="26"/>
          <w:szCs w:val="26"/>
        </w:rPr>
        <w:t>circunstancias del paciente le supongan un riesgo personal</w:t>
      </w:r>
      <w:r w:rsidRPr="00F07100">
        <w:rPr>
          <w:rFonts w:ascii="Times New Roman" w:hAnsi="Times New Roman" w:cs="Times New Roman"/>
          <w:sz w:val="26"/>
          <w:szCs w:val="26"/>
        </w:rPr>
        <w:t>” y “</w:t>
      </w:r>
      <w:r w:rsidR="00E26020" w:rsidRPr="00F07100">
        <w:rPr>
          <w:rFonts w:ascii="Times New Roman" w:hAnsi="Times New Roman" w:cs="Times New Roman"/>
          <w:i/>
          <w:sz w:val="26"/>
          <w:szCs w:val="26"/>
        </w:rPr>
        <w:t>El médico no abandonará a ningún paciente que necesite sus cuidados,</w:t>
      </w:r>
      <w:r w:rsidR="00E26020" w:rsidRPr="00F0710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26020" w:rsidRPr="00F07100">
        <w:rPr>
          <w:rFonts w:ascii="Times New Roman" w:hAnsi="Times New Roman" w:cs="Times New Roman"/>
          <w:i/>
          <w:sz w:val="26"/>
          <w:szCs w:val="26"/>
        </w:rPr>
        <w:t>ni siquiera en situaciones de catástrofe o epidemia, salvo que fuese</w:t>
      </w:r>
      <w:r w:rsidR="00E26020" w:rsidRPr="00F0710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26020" w:rsidRPr="00F07100">
        <w:rPr>
          <w:rFonts w:ascii="Times New Roman" w:hAnsi="Times New Roman" w:cs="Times New Roman"/>
          <w:i/>
          <w:sz w:val="26"/>
          <w:szCs w:val="26"/>
        </w:rPr>
        <w:t>obligado a hacerlo por la autoridad competente o exista un riesgo vital</w:t>
      </w:r>
      <w:r w:rsidR="00E26020" w:rsidRPr="00F0710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26020" w:rsidRPr="00F07100">
        <w:rPr>
          <w:rFonts w:ascii="Times New Roman" w:hAnsi="Times New Roman" w:cs="Times New Roman"/>
          <w:i/>
          <w:sz w:val="26"/>
          <w:szCs w:val="26"/>
        </w:rPr>
        <w:t>inminente e inevitable para su persona. Se presentará voluntariamente a</w:t>
      </w:r>
      <w:r w:rsidR="00E26020" w:rsidRPr="00F0710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26020" w:rsidRPr="00F07100">
        <w:rPr>
          <w:rFonts w:ascii="Times New Roman" w:hAnsi="Times New Roman" w:cs="Times New Roman"/>
          <w:i/>
          <w:sz w:val="26"/>
          <w:szCs w:val="26"/>
        </w:rPr>
        <w:t>colaborar en las tareas de auxilio sanitario</w:t>
      </w:r>
      <w:r w:rsidR="00E26020" w:rsidRPr="00F07100">
        <w:rPr>
          <w:rFonts w:ascii="Times New Roman" w:hAnsi="Times New Roman" w:cs="Times New Roman"/>
          <w:sz w:val="26"/>
          <w:szCs w:val="26"/>
        </w:rPr>
        <w:t>”</w:t>
      </w:r>
      <w:r w:rsidRPr="00F07100">
        <w:rPr>
          <w:rFonts w:ascii="Times New Roman" w:hAnsi="Times New Roman" w:cs="Times New Roman"/>
          <w:sz w:val="26"/>
          <w:szCs w:val="26"/>
        </w:rPr>
        <w:t>.</w:t>
      </w:r>
      <w:r w:rsidR="00E26020" w:rsidRPr="00F07100">
        <w:rPr>
          <w:rFonts w:ascii="Times New Roman" w:hAnsi="Times New Roman" w:cs="Times New Roman"/>
          <w:sz w:val="26"/>
          <w:szCs w:val="26"/>
        </w:rPr>
        <w:t xml:space="preserve"> En este último caso, aparece el concepto de riesgo vital inminente e inevitable que habría de valorarse ante la situación desatada por el COVID-19 pero, a mi juicio, no parece responder a dichas características.</w:t>
      </w:r>
    </w:p>
    <w:p w:rsidR="00F07100" w:rsidRPr="00F07100" w:rsidRDefault="00E26020" w:rsidP="00E26020">
      <w:pPr>
        <w:jc w:val="both"/>
        <w:rPr>
          <w:rFonts w:ascii="Times New Roman" w:hAnsi="Times New Roman" w:cs="Times New Roman"/>
          <w:sz w:val="26"/>
          <w:szCs w:val="26"/>
        </w:rPr>
      </w:pPr>
      <w:r w:rsidRPr="00F07100">
        <w:rPr>
          <w:rFonts w:ascii="Times New Roman" w:hAnsi="Times New Roman" w:cs="Times New Roman"/>
          <w:sz w:val="26"/>
          <w:szCs w:val="26"/>
        </w:rPr>
        <w:t>¿Qué hacer entonces? En todo caso, manifestar por escrito las condiciones en que se desarrolla la actividad sin disponer de medios de protección a nuestros superiores inmediatos: Jefe de Servicio y Director Médico, fundamentalmente. Ha de solicitarse,  asimismo, que de ese escrito se dé traslado mediante copia del mismo a la Unidad de Prevención de Riesgos o Salud Laboral de la que dependa el profesional. Y, por último, advertir en el mismo escrito de la exigencia de las responsabilidades de cualquier tipo, incluso penales, a que hubiere lugar.</w:t>
      </w:r>
    </w:p>
    <w:p w:rsidR="00F07100" w:rsidRPr="00F07100" w:rsidRDefault="00F07100" w:rsidP="00E26020">
      <w:pPr>
        <w:jc w:val="both"/>
        <w:rPr>
          <w:rFonts w:ascii="Times New Roman" w:hAnsi="Times New Roman" w:cs="Times New Roman"/>
          <w:sz w:val="26"/>
          <w:szCs w:val="26"/>
        </w:rPr>
      </w:pPr>
      <w:r w:rsidRPr="00F07100">
        <w:rPr>
          <w:rFonts w:ascii="Times New Roman" w:hAnsi="Times New Roman" w:cs="Times New Roman"/>
          <w:sz w:val="26"/>
          <w:szCs w:val="26"/>
        </w:rPr>
        <w:lastRenderedPageBreak/>
        <w:t>También sería conveniente acompañar a ese escrito de medios probatorios, fotografías, testimonio de delegados de prevención o, incluso, si fuere posible, levantamiento de acta notarial.</w:t>
      </w:r>
    </w:p>
    <w:p w:rsidR="00F07100" w:rsidRPr="00F07100" w:rsidRDefault="00F07100" w:rsidP="00E26020">
      <w:pPr>
        <w:jc w:val="both"/>
        <w:rPr>
          <w:rFonts w:ascii="Times New Roman" w:hAnsi="Times New Roman" w:cs="Times New Roman"/>
          <w:sz w:val="26"/>
          <w:szCs w:val="26"/>
        </w:rPr>
      </w:pPr>
      <w:r w:rsidRPr="00F07100">
        <w:rPr>
          <w:rFonts w:ascii="Times New Roman" w:hAnsi="Times New Roman" w:cs="Times New Roman"/>
          <w:sz w:val="26"/>
          <w:szCs w:val="26"/>
        </w:rPr>
        <w:t>Para finalizar, acompaño al presente diferentes modelos de escrito que se pueden presentar.</w:t>
      </w:r>
    </w:p>
    <w:p w:rsidR="00F07100" w:rsidRPr="00F07100" w:rsidRDefault="00F07100" w:rsidP="00E26020">
      <w:pPr>
        <w:jc w:val="both"/>
        <w:rPr>
          <w:rFonts w:ascii="Times New Roman" w:hAnsi="Times New Roman" w:cs="Times New Roman"/>
          <w:sz w:val="26"/>
          <w:szCs w:val="26"/>
        </w:rPr>
      </w:pPr>
      <w:r w:rsidRPr="00F07100">
        <w:rPr>
          <w:rFonts w:ascii="Times New Roman" w:hAnsi="Times New Roman" w:cs="Times New Roman"/>
          <w:sz w:val="26"/>
          <w:szCs w:val="26"/>
        </w:rPr>
        <w:t>Es cuanto procede informar, salvo mejor opinión en Derecho.</w:t>
      </w:r>
    </w:p>
    <w:p w:rsidR="00F07100" w:rsidRDefault="00F07100" w:rsidP="00F0710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26020" w:rsidRPr="00F07100" w:rsidRDefault="00F07100" w:rsidP="00F07100">
      <w:pPr>
        <w:jc w:val="center"/>
        <w:rPr>
          <w:rFonts w:ascii="Times New Roman" w:hAnsi="Times New Roman" w:cs="Times New Roman"/>
          <w:sz w:val="26"/>
          <w:szCs w:val="26"/>
        </w:rPr>
      </w:pPr>
      <w:r w:rsidRPr="00F07100">
        <w:rPr>
          <w:rFonts w:ascii="Times New Roman" w:hAnsi="Times New Roman" w:cs="Times New Roman"/>
          <w:sz w:val="26"/>
          <w:szCs w:val="26"/>
        </w:rPr>
        <w:t>En Madrid a 26 de marzo de 2020</w:t>
      </w:r>
    </w:p>
    <w:p w:rsidR="00236362" w:rsidRPr="00F07100" w:rsidRDefault="00E26020" w:rsidP="00E26020">
      <w:pPr>
        <w:jc w:val="both"/>
        <w:rPr>
          <w:rFonts w:ascii="Times New Roman" w:hAnsi="Times New Roman" w:cs="Times New Roman"/>
          <w:sz w:val="26"/>
          <w:szCs w:val="26"/>
        </w:rPr>
      </w:pPr>
      <w:r w:rsidRPr="00F07100">
        <w:rPr>
          <w:rFonts w:ascii="Times New Roman" w:hAnsi="Times New Roman" w:cs="Times New Roman"/>
          <w:sz w:val="26"/>
          <w:szCs w:val="26"/>
        </w:rPr>
        <w:t xml:space="preserve"> </w:t>
      </w:r>
      <w:r w:rsidR="00236362" w:rsidRPr="00F0710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36362" w:rsidRPr="00F071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C37E4"/>
    <w:multiLevelType w:val="hybridMultilevel"/>
    <w:tmpl w:val="A386B97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C55DC4"/>
    <w:multiLevelType w:val="hybridMultilevel"/>
    <w:tmpl w:val="D4A2DD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25920"/>
    <w:multiLevelType w:val="hybridMultilevel"/>
    <w:tmpl w:val="FE140B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00B0C"/>
    <w:multiLevelType w:val="hybridMultilevel"/>
    <w:tmpl w:val="EB4423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8B"/>
    <w:rsid w:val="000C1D57"/>
    <w:rsid w:val="002218A9"/>
    <w:rsid w:val="00236362"/>
    <w:rsid w:val="00855CB4"/>
    <w:rsid w:val="00AE068B"/>
    <w:rsid w:val="00E26020"/>
    <w:rsid w:val="00F0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92F69-1112-413D-BAC6-1E97F330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5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899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Balbás Gómez</dc:creator>
  <cp:keywords/>
  <dc:description/>
  <cp:lastModifiedBy>Jesús Balbás Gómez</cp:lastModifiedBy>
  <cp:revision>1</cp:revision>
  <dcterms:created xsi:type="dcterms:W3CDTF">2020-03-26T09:51:00Z</dcterms:created>
  <dcterms:modified xsi:type="dcterms:W3CDTF">2020-03-26T10:55:00Z</dcterms:modified>
</cp:coreProperties>
</file>